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F3D" w:rsidRDefault="00DF7F3D" w:rsidP="00DF7F3D">
      <w:pPr>
        <w:rPr>
          <w:rFonts w:ascii="仿宋_GB2312" w:eastAsia="仿宋_GB2312"/>
          <w:b/>
          <w:sz w:val="44"/>
          <w:szCs w:val="44"/>
        </w:rPr>
      </w:pPr>
    </w:p>
    <w:p w:rsidR="00BE078A" w:rsidRDefault="00BE078A">
      <w:pPr>
        <w:jc w:val="center"/>
        <w:rPr>
          <w:rFonts w:ascii="仿宋_GB2312" w:eastAsia="仿宋_GB2312"/>
          <w:b/>
          <w:sz w:val="44"/>
          <w:szCs w:val="44"/>
        </w:rPr>
      </w:pPr>
      <w:r>
        <w:rPr>
          <w:rFonts w:ascii="仿宋_GB2312" w:eastAsia="仿宋_GB2312" w:hint="eastAsia"/>
          <w:b/>
          <w:sz w:val="44"/>
          <w:szCs w:val="44"/>
        </w:rPr>
        <w:t>佛山市三水区人民法院</w:t>
      </w:r>
    </w:p>
    <w:p w:rsidR="00BE078A" w:rsidRDefault="00BE078A">
      <w:pPr>
        <w:jc w:val="center"/>
        <w:rPr>
          <w:rFonts w:ascii="仿宋_GB2312" w:eastAsia="仿宋_GB2312"/>
          <w:b/>
          <w:sz w:val="52"/>
          <w:szCs w:val="52"/>
        </w:rPr>
      </w:pPr>
      <w:r>
        <w:rPr>
          <w:rFonts w:ascii="仿宋_GB2312" w:eastAsia="仿宋_GB2312" w:hint="eastAsia"/>
          <w:b/>
          <w:sz w:val="52"/>
          <w:szCs w:val="52"/>
        </w:rPr>
        <w:t>公  告</w:t>
      </w:r>
    </w:p>
    <w:p w:rsidR="00BE078A" w:rsidRDefault="001F6FE0">
      <w:pPr>
        <w:rPr>
          <w:rFonts w:ascii="仿宋_GB2312" w:eastAsia="仿宋_GB2312"/>
          <w:b/>
          <w:sz w:val="32"/>
          <w:szCs w:val="32"/>
        </w:rPr>
      </w:pPr>
      <w:r>
        <w:rPr>
          <w:rFonts w:ascii="仿宋_GB2312" w:eastAsia="仿宋_GB2312" w:hint="eastAsia"/>
          <w:b/>
          <w:sz w:val="32"/>
          <w:szCs w:val="32"/>
        </w:rPr>
        <w:t>各相关破产</w:t>
      </w:r>
      <w:r w:rsidR="00EA2C2D">
        <w:rPr>
          <w:rFonts w:ascii="仿宋_GB2312" w:eastAsia="仿宋_GB2312" w:hint="eastAsia"/>
          <w:b/>
          <w:sz w:val="32"/>
          <w:szCs w:val="32"/>
        </w:rPr>
        <w:t>管理人</w:t>
      </w:r>
      <w:r w:rsidR="00BE078A">
        <w:rPr>
          <w:rFonts w:ascii="仿宋_GB2312" w:eastAsia="仿宋_GB2312" w:hint="eastAsia"/>
          <w:b/>
          <w:sz w:val="32"/>
          <w:szCs w:val="32"/>
        </w:rPr>
        <w:t>：</w:t>
      </w:r>
    </w:p>
    <w:p w:rsidR="004C5998" w:rsidRDefault="00BE078A" w:rsidP="004C5998">
      <w:pPr>
        <w:ind w:firstLineChars="198" w:firstLine="596"/>
        <w:rPr>
          <w:rFonts w:ascii="仿宋" w:eastAsia="仿宋" w:hAnsi="仿宋" w:cs="仿宋"/>
          <w:b/>
          <w:bCs/>
          <w:sz w:val="32"/>
          <w:szCs w:val="32"/>
        </w:rPr>
      </w:pPr>
      <w:r w:rsidRPr="00D33970">
        <w:rPr>
          <w:rFonts w:ascii="仿宋_GB2312" w:eastAsia="仿宋_GB2312" w:hint="eastAsia"/>
          <w:sz w:val="32"/>
          <w:szCs w:val="32"/>
        </w:rPr>
        <w:t>本院定于</w:t>
      </w:r>
      <w:r w:rsidR="002A700B" w:rsidRPr="00D33970">
        <w:rPr>
          <w:rFonts w:ascii="仿宋_GB2312" w:eastAsia="仿宋_GB2312" w:hint="eastAsia"/>
          <w:sz w:val="32"/>
          <w:szCs w:val="32"/>
        </w:rPr>
        <w:t>20</w:t>
      </w:r>
      <w:r w:rsidR="00BC1615" w:rsidRPr="00D33970">
        <w:rPr>
          <w:rFonts w:ascii="仿宋_GB2312" w:eastAsia="仿宋_GB2312" w:hint="eastAsia"/>
          <w:sz w:val="32"/>
          <w:szCs w:val="32"/>
        </w:rPr>
        <w:t>2</w:t>
      </w:r>
      <w:r w:rsidR="00D33970" w:rsidRPr="00D33970">
        <w:rPr>
          <w:rFonts w:ascii="仿宋_GB2312" w:eastAsia="仿宋_GB2312" w:hint="eastAsia"/>
          <w:sz w:val="32"/>
          <w:szCs w:val="32"/>
        </w:rPr>
        <w:t>1</w:t>
      </w:r>
      <w:r w:rsidRPr="00D33970">
        <w:rPr>
          <w:rFonts w:ascii="仿宋_GB2312" w:eastAsia="仿宋_GB2312" w:hint="eastAsia"/>
          <w:sz w:val="32"/>
          <w:szCs w:val="32"/>
        </w:rPr>
        <w:t>年</w:t>
      </w:r>
      <w:r w:rsidR="00D33970" w:rsidRPr="00D33970">
        <w:rPr>
          <w:rFonts w:ascii="仿宋_GB2312" w:eastAsia="仿宋_GB2312" w:hint="eastAsia"/>
          <w:sz w:val="32"/>
          <w:szCs w:val="32"/>
        </w:rPr>
        <w:t>4</w:t>
      </w:r>
      <w:r w:rsidRPr="00D33970">
        <w:rPr>
          <w:rFonts w:ascii="仿宋_GB2312" w:eastAsia="仿宋_GB2312" w:hint="eastAsia"/>
          <w:sz w:val="32"/>
          <w:szCs w:val="32"/>
        </w:rPr>
        <w:t>月</w:t>
      </w:r>
      <w:r w:rsidR="00643FD6" w:rsidRPr="00D33970">
        <w:rPr>
          <w:rFonts w:ascii="仿宋_GB2312" w:eastAsia="仿宋_GB2312" w:hint="eastAsia"/>
          <w:sz w:val="32"/>
          <w:szCs w:val="32"/>
        </w:rPr>
        <w:t>2</w:t>
      </w:r>
      <w:r w:rsidR="00D33970" w:rsidRPr="00D33970">
        <w:rPr>
          <w:rFonts w:ascii="仿宋_GB2312" w:eastAsia="仿宋_GB2312" w:hint="eastAsia"/>
          <w:sz w:val="32"/>
          <w:szCs w:val="32"/>
        </w:rPr>
        <w:t>2</w:t>
      </w:r>
      <w:r w:rsidR="00917E65" w:rsidRPr="00D33970">
        <w:rPr>
          <w:rFonts w:ascii="仿宋_GB2312" w:eastAsia="仿宋_GB2312" w:hint="eastAsia"/>
          <w:sz w:val="32"/>
          <w:szCs w:val="32"/>
        </w:rPr>
        <w:t>日下</w:t>
      </w:r>
      <w:r w:rsidRPr="00D33970">
        <w:rPr>
          <w:rFonts w:ascii="仿宋_GB2312" w:eastAsia="仿宋_GB2312" w:hint="eastAsia"/>
          <w:sz w:val="32"/>
          <w:szCs w:val="32"/>
        </w:rPr>
        <w:t>午</w:t>
      </w:r>
      <w:r w:rsidR="00F263E2" w:rsidRPr="00D33970">
        <w:rPr>
          <w:rFonts w:ascii="仿宋_GB2312" w:eastAsia="仿宋_GB2312" w:hint="eastAsia"/>
          <w:sz w:val="32"/>
          <w:szCs w:val="32"/>
        </w:rPr>
        <w:t>3</w:t>
      </w:r>
      <w:r w:rsidRPr="00D33970">
        <w:rPr>
          <w:rFonts w:ascii="仿宋_GB2312" w:eastAsia="仿宋_GB2312" w:hint="eastAsia"/>
          <w:sz w:val="32"/>
          <w:szCs w:val="32"/>
        </w:rPr>
        <w:t>时，在</w:t>
      </w:r>
      <w:r w:rsidR="00E164E7" w:rsidRPr="00D33970">
        <w:rPr>
          <w:rFonts w:ascii="仿宋_GB2312" w:eastAsia="仿宋_GB2312" w:hint="eastAsia"/>
          <w:sz w:val="32"/>
          <w:szCs w:val="32"/>
        </w:rPr>
        <w:t>本院</w:t>
      </w:r>
      <w:r w:rsidRPr="00D33970">
        <w:rPr>
          <w:rFonts w:ascii="仿宋_GB2312" w:eastAsia="仿宋_GB2312" w:hint="eastAsia"/>
          <w:sz w:val="32"/>
          <w:szCs w:val="32"/>
        </w:rPr>
        <w:t>司法鉴定管理中心</w:t>
      </w:r>
      <w:proofErr w:type="gramStart"/>
      <w:r w:rsidR="002D1500" w:rsidRPr="00D33970">
        <w:rPr>
          <w:rFonts w:ascii="仿宋_GB2312" w:eastAsia="仿宋_GB2312" w:hint="eastAsia"/>
          <w:sz w:val="32"/>
          <w:szCs w:val="32"/>
        </w:rPr>
        <w:t>摇珠室</w:t>
      </w:r>
      <w:r w:rsidRPr="00D33970">
        <w:rPr>
          <w:rFonts w:ascii="仿宋_GB2312" w:eastAsia="仿宋_GB2312" w:hint="eastAsia"/>
          <w:sz w:val="32"/>
          <w:szCs w:val="32"/>
        </w:rPr>
        <w:t>进行</w:t>
      </w:r>
      <w:r w:rsidR="00D33970" w:rsidRPr="00D33970">
        <w:rPr>
          <w:rFonts w:ascii="仿宋_GB2312" w:eastAsia="仿宋_GB2312" w:hint="eastAsia"/>
          <w:b/>
          <w:bCs/>
          <w:sz w:val="32"/>
          <w:szCs w:val="32"/>
        </w:rPr>
        <w:t>破产</w:t>
      </w:r>
      <w:r w:rsidR="00643FD6" w:rsidRPr="00D33970">
        <w:rPr>
          <w:rFonts w:ascii="仿宋_GB2312" w:eastAsia="仿宋_GB2312" w:hint="eastAsia"/>
          <w:b/>
          <w:bCs/>
          <w:sz w:val="32"/>
          <w:szCs w:val="32"/>
        </w:rPr>
        <w:t>类</w:t>
      </w:r>
      <w:r w:rsidR="00212A44" w:rsidRPr="00D33970">
        <w:rPr>
          <w:rFonts w:ascii="仿宋_GB2312" w:eastAsia="仿宋_GB2312" w:hint="eastAsia"/>
          <w:sz w:val="32"/>
          <w:szCs w:val="32"/>
        </w:rPr>
        <w:t>摇珠</w:t>
      </w:r>
      <w:proofErr w:type="gramEnd"/>
      <w:r w:rsidR="00E5555C" w:rsidRPr="00D33970">
        <w:rPr>
          <w:rFonts w:ascii="仿宋_GB2312" w:eastAsia="仿宋_GB2312" w:hint="eastAsia"/>
          <w:sz w:val="32"/>
          <w:szCs w:val="32"/>
        </w:rPr>
        <w:t>，</w:t>
      </w:r>
      <w:r w:rsidR="004C5998">
        <w:rPr>
          <w:rFonts w:ascii="仿宋" w:eastAsia="仿宋" w:hAnsi="仿宋" w:cs="仿宋" w:hint="eastAsia"/>
          <w:sz w:val="32"/>
          <w:szCs w:val="32"/>
        </w:rPr>
        <w:t>依程序在佛山市中级人民法院管理人名册中符合条件的广东众淼律师事务所、广东龙浩律师事务所、广东天骅律师事务所、广东金纳律师事务所、广东源浩律师事务所、广东天地正律师事务所中摇珠选定一名管理人。管理人报酬方案以及应遵守的规定见附件2。</w:t>
      </w:r>
    </w:p>
    <w:p w:rsidR="004C5998" w:rsidRDefault="004C5998" w:rsidP="004C5998">
      <w:pPr>
        <w:ind w:firstLine="630"/>
        <w:rPr>
          <w:rFonts w:ascii="仿宋_GB2312" w:eastAsia="仿宋_GB2312"/>
          <w:b/>
          <w:sz w:val="32"/>
          <w:szCs w:val="32"/>
        </w:rPr>
      </w:pPr>
      <w:r>
        <w:rPr>
          <w:rFonts w:ascii="仿宋_GB2312" w:eastAsia="仿宋_GB2312" w:hint="eastAsia"/>
          <w:sz w:val="32"/>
          <w:szCs w:val="32"/>
        </w:rPr>
        <w:t>特此公告。</w:t>
      </w:r>
      <w:r>
        <w:rPr>
          <w:rFonts w:ascii="仿宋_GB2312" w:eastAsia="仿宋_GB2312" w:hint="eastAsia"/>
          <w:b/>
          <w:sz w:val="32"/>
          <w:szCs w:val="32"/>
        </w:rPr>
        <w:t xml:space="preserve"> </w:t>
      </w:r>
    </w:p>
    <w:p w:rsidR="004C5998" w:rsidRDefault="004C5998" w:rsidP="004C5998">
      <w:pPr>
        <w:jc w:val="right"/>
        <w:rPr>
          <w:rFonts w:ascii="仿宋_GB2312" w:eastAsia="仿宋_GB2312"/>
          <w:sz w:val="32"/>
          <w:szCs w:val="32"/>
        </w:rPr>
      </w:pPr>
      <w:r>
        <w:rPr>
          <w:rFonts w:ascii="仿宋_GB2312" w:eastAsia="仿宋_GB2312" w:hint="eastAsia"/>
          <w:sz w:val="32"/>
          <w:szCs w:val="32"/>
        </w:rPr>
        <w:t>二Ｏ二一年四月十九日</w:t>
      </w:r>
    </w:p>
    <w:p w:rsidR="004C5998" w:rsidRDefault="004C5998" w:rsidP="004C5998">
      <w:pPr>
        <w:ind w:right="640"/>
        <w:rPr>
          <w:rFonts w:ascii="仿宋_GB2312" w:eastAsia="仿宋_GB2312"/>
          <w:sz w:val="32"/>
          <w:szCs w:val="32"/>
        </w:rPr>
      </w:pPr>
      <w:r>
        <w:rPr>
          <w:rFonts w:ascii="仿宋_GB2312" w:eastAsia="仿宋_GB2312" w:hint="eastAsia"/>
          <w:sz w:val="32"/>
          <w:szCs w:val="32"/>
        </w:rPr>
        <w:t>附件1:</w:t>
      </w:r>
      <w:r>
        <w:rPr>
          <w:rFonts w:ascii="仿宋_GB2312" w:eastAsia="仿宋_GB2312" w:hint="eastAsia"/>
          <w:kern w:val="0"/>
          <w:sz w:val="32"/>
          <w:szCs w:val="32"/>
        </w:rPr>
        <w:t>破产企业清单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072"/>
        <w:gridCol w:w="1417"/>
        <w:gridCol w:w="4962"/>
      </w:tblGrid>
      <w:tr w:rsidR="004C5998" w:rsidTr="00861CD5">
        <w:trPr>
          <w:trHeight w:val="939"/>
          <w:jc w:val="center"/>
        </w:trPr>
        <w:tc>
          <w:tcPr>
            <w:tcW w:w="990" w:type="dxa"/>
            <w:vAlign w:val="center"/>
          </w:tcPr>
          <w:p w:rsidR="004C5998" w:rsidRDefault="004C5998" w:rsidP="00861CD5">
            <w:pPr>
              <w:jc w:val="center"/>
              <w:rPr>
                <w:rFonts w:ascii="仿宋_GB2312" w:eastAsia="仿宋_GB2312"/>
                <w:sz w:val="32"/>
                <w:szCs w:val="32"/>
              </w:rPr>
            </w:pPr>
            <w:r>
              <w:rPr>
                <w:rFonts w:ascii="仿宋_GB2312" w:eastAsia="仿宋_GB2312" w:hint="eastAsia"/>
                <w:sz w:val="32"/>
                <w:szCs w:val="32"/>
              </w:rPr>
              <w:t>序号</w:t>
            </w:r>
          </w:p>
        </w:tc>
        <w:tc>
          <w:tcPr>
            <w:tcW w:w="2072" w:type="dxa"/>
            <w:vAlign w:val="center"/>
          </w:tcPr>
          <w:p w:rsidR="004C5998" w:rsidRDefault="004C5998" w:rsidP="00861CD5">
            <w:pPr>
              <w:jc w:val="center"/>
              <w:rPr>
                <w:rFonts w:ascii="仿宋_GB2312" w:eastAsia="仿宋_GB2312"/>
                <w:sz w:val="32"/>
                <w:szCs w:val="32"/>
              </w:rPr>
            </w:pPr>
            <w:r>
              <w:rPr>
                <w:rFonts w:ascii="仿宋_GB2312" w:eastAsia="仿宋_GB2312" w:hint="eastAsia"/>
                <w:sz w:val="32"/>
                <w:szCs w:val="32"/>
              </w:rPr>
              <w:t>案    号</w:t>
            </w:r>
          </w:p>
        </w:tc>
        <w:tc>
          <w:tcPr>
            <w:tcW w:w="1417" w:type="dxa"/>
            <w:vAlign w:val="center"/>
          </w:tcPr>
          <w:p w:rsidR="004C5998" w:rsidRDefault="004C5998" w:rsidP="00861CD5">
            <w:pPr>
              <w:jc w:val="center"/>
              <w:rPr>
                <w:rFonts w:ascii="仿宋_GB2312" w:eastAsia="仿宋_GB2312"/>
                <w:sz w:val="32"/>
                <w:szCs w:val="32"/>
              </w:rPr>
            </w:pPr>
            <w:r>
              <w:rPr>
                <w:rFonts w:ascii="仿宋_GB2312" w:eastAsia="仿宋_GB2312" w:hint="eastAsia"/>
                <w:sz w:val="32"/>
                <w:szCs w:val="32"/>
              </w:rPr>
              <w:t>承办人</w:t>
            </w:r>
          </w:p>
        </w:tc>
        <w:tc>
          <w:tcPr>
            <w:tcW w:w="4962" w:type="dxa"/>
            <w:vAlign w:val="center"/>
          </w:tcPr>
          <w:p w:rsidR="004C5998" w:rsidRDefault="004C5998" w:rsidP="004C5998">
            <w:pPr>
              <w:ind w:firstLineChars="500" w:firstLine="1506"/>
              <w:rPr>
                <w:rFonts w:ascii="仿宋_GB2312" w:eastAsia="仿宋_GB2312"/>
                <w:sz w:val="32"/>
                <w:szCs w:val="32"/>
              </w:rPr>
            </w:pPr>
            <w:r>
              <w:rPr>
                <w:rFonts w:ascii="仿宋" w:eastAsia="仿宋" w:hAnsi="仿宋" w:hint="eastAsia"/>
                <w:kern w:val="0"/>
                <w:sz w:val="32"/>
                <w:szCs w:val="32"/>
              </w:rPr>
              <w:t>破产企业名称</w:t>
            </w:r>
          </w:p>
        </w:tc>
      </w:tr>
      <w:tr w:rsidR="004C5998" w:rsidTr="00861CD5">
        <w:trPr>
          <w:trHeight w:val="939"/>
          <w:jc w:val="center"/>
        </w:trPr>
        <w:tc>
          <w:tcPr>
            <w:tcW w:w="990" w:type="dxa"/>
            <w:vAlign w:val="center"/>
          </w:tcPr>
          <w:p w:rsidR="004C5998" w:rsidRDefault="004C5998" w:rsidP="00861CD5">
            <w:pPr>
              <w:jc w:val="center"/>
              <w:rPr>
                <w:rFonts w:ascii="仿宋_GB2312" w:eastAsia="仿宋_GB2312"/>
                <w:sz w:val="32"/>
                <w:szCs w:val="32"/>
              </w:rPr>
            </w:pPr>
            <w:r>
              <w:rPr>
                <w:rFonts w:ascii="仿宋_GB2312" w:eastAsia="仿宋_GB2312" w:hint="eastAsia"/>
                <w:sz w:val="32"/>
                <w:szCs w:val="32"/>
              </w:rPr>
              <w:t>1</w:t>
            </w:r>
          </w:p>
        </w:tc>
        <w:tc>
          <w:tcPr>
            <w:tcW w:w="2072" w:type="dxa"/>
            <w:vAlign w:val="center"/>
          </w:tcPr>
          <w:p w:rsidR="004C5998" w:rsidRDefault="004C5998" w:rsidP="00861CD5">
            <w:pPr>
              <w:rPr>
                <w:rFonts w:ascii="仿宋_GB2312" w:eastAsia="仿宋_GB2312"/>
                <w:sz w:val="24"/>
              </w:rPr>
            </w:pPr>
            <w:r>
              <w:rPr>
                <w:rFonts w:ascii="仿宋_GB2312" w:eastAsia="仿宋_GB2312" w:hint="eastAsia"/>
                <w:kern w:val="0"/>
                <w:sz w:val="24"/>
              </w:rPr>
              <w:t>（2021）粤0607破1号</w:t>
            </w:r>
          </w:p>
        </w:tc>
        <w:tc>
          <w:tcPr>
            <w:tcW w:w="1417" w:type="dxa"/>
            <w:vAlign w:val="center"/>
          </w:tcPr>
          <w:p w:rsidR="004C5998" w:rsidRDefault="004C5998" w:rsidP="00861CD5">
            <w:pPr>
              <w:rPr>
                <w:rFonts w:ascii="仿宋_GB2312" w:eastAsia="仿宋_GB2312"/>
                <w:sz w:val="32"/>
                <w:szCs w:val="32"/>
              </w:rPr>
            </w:pPr>
            <w:r>
              <w:rPr>
                <w:rFonts w:ascii="仿宋_GB2312" w:eastAsia="仿宋_GB2312" w:hint="eastAsia"/>
                <w:kern w:val="0"/>
                <w:sz w:val="32"/>
                <w:szCs w:val="32"/>
              </w:rPr>
              <w:t>王璋</w:t>
            </w:r>
          </w:p>
        </w:tc>
        <w:tc>
          <w:tcPr>
            <w:tcW w:w="4962" w:type="dxa"/>
            <w:vAlign w:val="center"/>
          </w:tcPr>
          <w:p w:rsidR="004C5998" w:rsidRDefault="004C5998" w:rsidP="00861CD5">
            <w:pPr>
              <w:rPr>
                <w:rFonts w:ascii="仿宋_GB2312" w:eastAsia="仿宋_GB2312" w:hAnsi="仿宋"/>
                <w:sz w:val="32"/>
                <w:szCs w:val="32"/>
                <w:lang w:val="en-GB"/>
              </w:rPr>
            </w:pPr>
            <w:r>
              <w:rPr>
                <w:rFonts w:ascii="仿宋" w:eastAsia="仿宋" w:hAnsi="仿宋" w:cs="仿宋" w:hint="eastAsia"/>
                <w:sz w:val="28"/>
                <w:szCs w:val="28"/>
                <w:lang w:val="en-GB"/>
              </w:rPr>
              <w:t>佛山市三水区食品集团公司</w:t>
            </w:r>
          </w:p>
        </w:tc>
      </w:tr>
      <w:tr w:rsidR="004C5998" w:rsidTr="00861CD5">
        <w:trPr>
          <w:trHeight w:val="939"/>
          <w:jc w:val="center"/>
        </w:trPr>
        <w:tc>
          <w:tcPr>
            <w:tcW w:w="990" w:type="dxa"/>
            <w:vAlign w:val="center"/>
          </w:tcPr>
          <w:p w:rsidR="004C5998" w:rsidRDefault="004C5998" w:rsidP="00861CD5">
            <w:pPr>
              <w:jc w:val="center"/>
              <w:rPr>
                <w:rFonts w:ascii="仿宋_GB2312" w:eastAsia="仿宋_GB2312"/>
                <w:sz w:val="32"/>
                <w:szCs w:val="32"/>
              </w:rPr>
            </w:pPr>
            <w:r>
              <w:rPr>
                <w:rFonts w:ascii="仿宋_GB2312" w:eastAsia="仿宋_GB2312" w:hint="eastAsia"/>
                <w:sz w:val="32"/>
                <w:szCs w:val="32"/>
              </w:rPr>
              <w:t>2</w:t>
            </w:r>
          </w:p>
        </w:tc>
        <w:tc>
          <w:tcPr>
            <w:tcW w:w="2072" w:type="dxa"/>
            <w:vAlign w:val="center"/>
          </w:tcPr>
          <w:p w:rsidR="004C5998" w:rsidRDefault="004C5998" w:rsidP="00861CD5">
            <w:pPr>
              <w:rPr>
                <w:rFonts w:ascii="仿宋_GB2312" w:eastAsia="仿宋_GB2312"/>
                <w:kern w:val="0"/>
                <w:sz w:val="24"/>
              </w:rPr>
            </w:pPr>
            <w:r>
              <w:rPr>
                <w:rFonts w:ascii="仿宋_GB2312" w:eastAsia="仿宋_GB2312" w:hint="eastAsia"/>
                <w:kern w:val="0"/>
                <w:sz w:val="24"/>
              </w:rPr>
              <w:t>（2021）粤0607破6号</w:t>
            </w:r>
          </w:p>
        </w:tc>
        <w:tc>
          <w:tcPr>
            <w:tcW w:w="1417" w:type="dxa"/>
            <w:vAlign w:val="center"/>
          </w:tcPr>
          <w:p w:rsidR="004C5998" w:rsidRDefault="004C5998" w:rsidP="00861CD5">
            <w:pPr>
              <w:rPr>
                <w:rFonts w:ascii="仿宋_GB2312" w:eastAsia="仿宋_GB2312"/>
                <w:kern w:val="0"/>
                <w:sz w:val="32"/>
                <w:szCs w:val="32"/>
              </w:rPr>
            </w:pPr>
            <w:r>
              <w:rPr>
                <w:rFonts w:ascii="仿宋_GB2312" w:eastAsia="仿宋_GB2312" w:hint="eastAsia"/>
                <w:kern w:val="0"/>
                <w:sz w:val="32"/>
                <w:szCs w:val="32"/>
              </w:rPr>
              <w:t>王璋</w:t>
            </w:r>
          </w:p>
        </w:tc>
        <w:tc>
          <w:tcPr>
            <w:tcW w:w="4962" w:type="dxa"/>
            <w:vAlign w:val="center"/>
          </w:tcPr>
          <w:p w:rsidR="004C5998" w:rsidRDefault="004C5998" w:rsidP="00861CD5">
            <w:pPr>
              <w:rPr>
                <w:rFonts w:ascii="仿宋" w:eastAsia="仿宋" w:hAnsi="仿宋" w:cs="仿宋"/>
                <w:sz w:val="28"/>
                <w:szCs w:val="28"/>
                <w:lang w:val="en-GB"/>
              </w:rPr>
            </w:pPr>
            <w:r>
              <w:rPr>
                <w:rFonts w:ascii="仿宋" w:eastAsia="仿宋" w:hAnsi="仿宋" w:cs="仿宋" w:hint="eastAsia"/>
                <w:sz w:val="28"/>
                <w:szCs w:val="28"/>
                <w:lang w:val="en-GB"/>
              </w:rPr>
              <w:t>佛山市三水区粮食企业集团公司</w:t>
            </w:r>
          </w:p>
        </w:tc>
      </w:tr>
    </w:tbl>
    <w:p w:rsidR="004C5998" w:rsidRDefault="004C5998" w:rsidP="004C5998">
      <w:pPr>
        <w:ind w:right="-115"/>
        <w:rPr>
          <w:rFonts w:ascii="仿宋_GB2312" w:eastAsia="仿宋_GB2312"/>
          <w:kern w:val="0"/>
          <w:sz w:val="32"/>
          <w:szCs w:val="32"/>
        </w:rPr>
      </w:pPr>
    </w:p>
    <w:p w:rsidR="004C5998" w:rsidRDefault="004C5998" w:rsidP="004C5998">
      <w:pPr>
        <w:ind w:right="-115"/>
        <w:rPr>
          <w:rFonts w:ascii="仿宋_GB2312" w:eastAsia="仿宋_GB2312" w:hAnsi="仿宋" w:cs="仿宋"/>
          <w:kern w:val="0"/>
          <w:sz w:val="32"/>
          <w:szCs w:val="32"/>
        </w:rPr>
      </w:pPr>
      <w:r>
        <w:rPr>
          <w:rFonts w:ascii="仿宋_GB2312" w:eastAsia="仿宋_GB2312" w:hAnsi="仿宋" w:cs="仿宋" w:hint="eastAsia"/>
          <w:kern w:val="0"/>
          <w:sz w:val="32"/>
          <w:szCs w:val="32"/>
        </w:rPr>
        <w:t>附件2：管理人报酬初步方案以及遵守的规定</w:t>
      </w:r>
      <w:r>
        <w:rPr>
          <w:rFonts w:ascii="仿宋_GB2312" w:eastAsia="仿宋_GB2312" w:hAnsi="仿宋" w:cs="仿宋" w:hint="eastAsia"/>
          <w:kern w:val="0"/>
          <w:sz w:val="32"/>
          <w:szCs w:val="32"/>
        </w:rPr>
        <w:tab/>
      </w:r>
    </w:p>
    <w:p w:rsidR="004C5998" w:rsidRDefault="004C5998" w:rsidP="004C5998">
      <w:pPr>
        <w:ind w:right="-257" w:firstLine="645"/>
        <w:rPr>
          <w:rFonts w:ascii="仿宋_GB2312" w:eastAsia="仿宋_GB2312" w:hAnsi="仿宋" w:cs="仿宋"/>
          <w:kern w:val="0"/>
          <w:sz w:val="32"/>
          <w:szCs w:val="32"/>
        </w:rPr>
      </w:pPr>
      <w:r>
        <w:rPr>
          <w:rFonts w:ascii="仿宋_GB2312" w:eastAsia="仿宋_GB2312" w:hAnsi="仿宋" w:cs="仿宋" w:hint="eastAsia"/>
          <w:kern w:val="0"/>
          <w:sz w:val="32"/>
          <w:szCs w:val="32"/>
        </w:rPr>
        <w:t>根据《最高人民法院关于审理企业破产案件确定管理人报酬的规定》</w:t>
      </w:r>
      <w:r>
        <w:rPr>
          <w:rFonts w:ascii="仿宋_GB2312" w:eastAsia="仿宋_GB2312" w:hAnsi="仿宋" w:cs="仿宋" w:hint="eastAsia"/>
          <w:kern w:val="0"/>
          <w:sz w:val="32"/>
          <w:szCs w:val="32"/>
        </w:rPr>
        <w:lastRenderedPageBreak/>
        <w:t>第四条的规定，初步确定管理人的报酬方案如下：</w:t>
      </w:r>
    </w:p>
    <w:p w:rsidR="004C5998" w:rsidRDefault="004C5998" w:rsidP="004C5998">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一、在《最高人民法院关于审理企业破产案件确定管理人报酬的规定》第二条规定的管理人报酬比例限制范围内，根据管理人完成破产清算工作的效率，按以下比例确定管理人报酬：（一）一年内结案的按90%收取报酬；（二）两年内结案的按80%收取报酬；（三）两年以上结案的按70%收取报酬。结案是指本院裁定终结破产程序。管理人接管破产企业超过两年确因客观原因未能结案的，应经本院批准延长期限，并向债权人会议报告。本院超出法定期限对管理人提交的合格材料进行批复、裁定的时间，不计算在管理人办案期限之内。</w:t>
      </w:r>
    </w:p>
    <w:p w:rsidR="004C5998" w:rsidRDefault="004C5998" w:rsidP="004C5998">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二、管理人的报酬根据破产案件审理进度和管理人履行职责的实际情况分期支付。管理人收取报酬在全部财产分配完毕时收取应收报酬的80%，余下20%在全部清算工作完成时收取。</w:t>
      </w:r>
    </w:p>
    <w:p w:rsidR="004C5998" w:rsidRDefault="004C5998" w:rsidP="004C5998">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三、破产企业无财产可供分配的，参照《佛山市破产管理人协会管理人基金管理办法》的相关规定给予管理人相应补偿。</w:t>
      </w:r>
    </w:p>
    <w:p w:rsidR="004C5998" w:rsidRDefault="004C5998" w:rsidP="004C5998">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应遵守的其他规定：</w:t>
      </w:r>
    </w:p>
    <w:p w:rsidR="004C5998" w:rsidRDefault="004C5998" w:rsidP="004C5998">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一、破产案件银行账户开设后，经本院书面通知，破产案件管理人应在本院指定的期限内将管理人银行账户中破产企业的款项转账至本院对应的破产案件银行账户，但利害关系人垫付的破产费用除外。</w:t>
      </w:r>
    </w:p>
    <w:p w:rsidR="004C5998" w:rsidRDefault="004C5998" w:rsidP="004C5998">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lastRenderedPageBreak/>
        <w:t>通过本院网络司法拍卖平台处置破产财产的，网拍成交款（包括保证金和</w:t>
      </w:r>
      <w:proofErr w:type="gramStart"/>
      <w:r>
        <w:rPr>
          <w:rFonts w:ascii="仿宋_GB2312" w:hAnsi="仿宋" w:cs="仿宋" w:hint="eastAsia"/>
          <w:sz w:val="32"/>
          <w:szCs w:val="32"/>
        </w:rPr>
        <w:t>尾款</w:t>
      </w:r>
      <w:proofErr w:type="gramEnd"/>
      <w:r>
        <w:rPr>
          <w:rFonts w:ascii="仿宋_GB2312" w:hAnsi="仿宋" w:cs="仿宋" w:hint="eastAsia"/>
          <w:sz w:val="32"/>
          <w:szCs w:val="32"/>
        </w:rPr>
        <w:t>）进入对应的破产案件银行账户。</w:t>
      </w:r>
    </w:p>
    <w:p w:rsidR="004C5998" w:rsidRDefault="004C5998" w:rsidP="004C5998">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二、管理人向本院提出用款申请应区分情况提供下列资料：</w:t>
      </w:r>
    </w:p>
    <w:p w:rsidR="004C5998" w:rsidRDefault="004C5998" w:rsidP="004C5998">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一）管理人日常性支出申请材料。管理人需支出破产企业留守人员工资、企业继续营业的水电费、税费等日常性支出，应向本院破产审判部门提交留守人员工资表、缴纳税费通知等资料和书面的用款申请。管理人对日常性支出可根据实际需要每季度向本院申请一次用款，申请时间为每季度最后一个月的28日前。</w:t>
      </w:r>
    </w:p>
    <w:p w:rsidR="004C5998" w:rsidRDefault="004C5998" w:rsidP="004C5998">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二）管理人非日常性支出申请材料。管理人需支出破产企业财产分配款、破产企业对外承担的赔偿责任款、提前支取部分管理人报酬等上述第（一）项规定的日常性支出之外其他费用，应向本院破产审判部门提交债权人会议表决同意管理人该笔用款的债权人会议决议副本，以及书面的用款申请书等资料。管理人对非日常性支出应根据实际用款需要提前七个工作日向本院申请用款。</w:t>
      </w:r>
    </w:p>
    <w:p w:rsidR="004C5998" w:rsidRDefault="004C5998" w:rsidP="004C5998">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三、管理人应在其向本院提交的每季度定期工作报告中对经本院审批同意的管理人用款的实际支出情况和结余情况进行说明，并提交支出凭证副本给本院。</w:t>
      </w:r>
    </w:p>
    <w:p w:rsidR="004C5998" w:rsidRDefault="004C5998" w:rsidP="004C5998">
      <w:pPr>
        <w:pStyle w:val="a8"/>
        <w:wordWrap w:val="0"/>
        <w:spacing w:before="0" w:beforeAutospacing="0" w:after="0" w:afterAutospacing="0" w:line="600" w:lineRule="atLeast"/>
        <w:ind w:firstLine="643"/>
        <w:jc w:val="both"/>
        <w:rPr>
          <w:rFonts w:ascii="仿宋_GB2312" w:hAnsi="仿宋" w:cs="仿宋"/>
          <w:sz w:val="32"/>
          <w:szCs w:val="32"/>
        </w:rPr>
      </w:pPr>
    </w:p>
    <w:p w:rsidR="00917E65" w:rsidRPr="00D33970" w:rsidRDefault="00917E65" w:rsidP="00F224E8">
      <w:pPr>
        <w:tabs>
          <w:tab w:val="left" w:pos="4351"/>
          <w:tab w:val="center" w:pos="4819"/>
        </w:tabs>
        <w:spacing w:line="420" w:lineRule="exact"/>
        <w:rPr>
          <w:rFonts w:ascii="仿宋_GB2312" w:eastAsia="仿宋_GB2312"/>
          <w:b/>
          <w:sz w:val="32"/>
          <w:szCs w:val="32"/>
        </w:rPr>
      </w:pPr>
    </w:p>
    <w:sectPr w:rsidR="00917E65" w:rsidRPr="00D33970" w:rsidSect="00D915E3">
      <w:headerReference w:type="default" r:id="rId7"/>
      <w:footerReference w:type="even" r:id="rId8"/>
      <w:footerReference w:type="default" r:id="rId9"/>
      <w:pgSz w:w="11906" w:h="16838"/>
      <w:pgMar w:top="1701" w:right="1134" w:bottom="1701" w:left="1134" w:header="851" w:footer="992" w:gutter="0"/>
      <w:cols w:space="720"/>
      <w:titlePg/>
      <w:docGrid w:type="linesAndChars" w:linePitch="356" w:charSpace="-38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28" w:rsidRDefault="00E05728">
      <w:r>
        <w:separator/>
      </w:r>
    </w:p>
  </w:endnote>
  <w:endnote w:type="continuationSeparator" w:id="0">
    <w:p w:rsidR="00E05728" w:rsidRDefault="00E05728">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66" w:rsidRDefault="00CB76B0">
    <w:pPr>
      <w:pStyle w:val="a4"/>
      <w:framePr w:h="0" w:wrap="around" w:vAnchor="text" w:hAnchor="margin" w:xAlign="center" w:y="1"/>
      <w:rPr>
        <w:rStyle w:val="a3"/>
      </w:rPr>
    </w:pPr>
    <w:r>
      <w:fldChar w:fldCharType="begin"/>
    </w:r>
    <w:r w:rsidR="00FA7D66">
      <w:rPr>
        <w:rStyle w:val="a3"/>
      </w:rPr>
      <w:instrText xml:space="preserve">PAGE  </w:instrText>
    </w:r>
    <w:r>
      <w:fldChar w:fldCharType="separate"/>
    </w:r>
    <w:r w:rsidR="00FA7D66">
      <w:rPr>
        <w:rStyle w:val="a3"/>
      </w:rPr>
      <w:t>3</w:t>
    </w:r>
    <w:r>
      <w:fldChar w:fldCharType="end"/>
    </w:r>
  </w:p>
  <w:p w:rsidR="00FA7D66" w:rsidRDefault="00FA7D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66" w:rsidRDefault="00CB76B0">
    <w:pPr>
      <w:pStyle w:val="a4"/>
      <w:framePr w:h="0" w:wrap="around" w:vAnchor="text" w:hAnchor="margin" w:xAlign="center" w:y="1"/>
      <w:rPr>
        <w:rStyle w:val="a3"/>
      </w:rPr>
    </w:pPr>
    <w:r>
      <w:fldChar w:fldCharType="begin"/>
    </w:r>
    <w:r w:rsidR="00FA7D66">
      <w:rPr>
        <w:rStyle w:val="a3"/>
      </w:rPr>
      <w:instrText xml:space="preserve">PAGE  </w:instrText>
    </w:r>
    <w:r>
      <w:fldChar w:fldCharType="separate"/>
    </w:r>
    <w:r w:rsidR="00F224E8">
      <w:rPr>
        <w:rStyle w:val="a3"/>
        <w:noProof/>
      </w:rPr>
      <w:t>2</w:t>
    </w:r>
    <w:r>
      <w:fldChar w:fldCharType="end"/>
    </w:r>
  </w:p>
  <w:p w:rsidR="00FA7D66" w:rsidRDefault="00FA7D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28" w:rsidRDefault="00E05728">
      <w:r>
        <w:separator/>
      </w:r>
    </w:p>
  </w:footnote>
  <w:footnote w:type="continuationSeparator" w:id="0">
    <w:p w:rsidR="00E05728" w:rsidRDefault="00E05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66" w:rsidRDefault="00FA7D66" w:rsidP="00DD15A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44652"/>
    <w:multiLevelType w:val="hybridMultilevel"/>
    <w:tmpl w:val="870435AE"/>
    <w:lvl w:ilvl="0" w:tplc="BF20D14E">
      <w:start w:val="1"/>
      <w:numFmt w:val="decimal"/>
      <w:lvlText w:val="%1、"/>
      <w:lvlJc w:val="left"/>
      <w:pPr>
        <w:ind w:left="1652" w:hanging="1050"/>
      </w:pPr>
      <w:rPr>
        <w:rFonts w:ascii="仿宋_GB2312" w:eastAsia="仿宋_GB2312" w:hAnsi="Times New Roman" w:cs="Times New Roman"/>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420"/>
  <w:drawingGridHorizontalSpacing w:val="191"/>
  <w:drawingGridVerticalSpacing w:val="603"/>
  <w:displayHorizontalDrawingGridEvery w:val="0"/>
  <w:characterSpacingControl w:val="compressPunctuation"/>
  <w:doNotValidateAgainstSchema/>
  <w:doNotDemarcateInvalidXml/>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F4D"/>
    <w:rsid w:val="00002553"/>
    <w:rsid w:val="00002B69"/>
    <w:rsid w:val="000070A1"/>
    <w:rsid w:val="0002208C"/>
    <w:rsid w:val="00057087"/>
    <w:rsid w:val="00065B89"/>
    <w:rsid w:val="000755C1"/>
    <w:rsid w:val="000831BC"/>
    <w:rsid w:val="0008414D"/>
    <w:rsid w:val="00087D16"/>
    <w:rsid w:val="000C4AD7"/>
    <w:rsid w:val="000D2ECF"/>
    <w:rsid w:val="000E1D99"/>
    <w:rsid w:val="000E2B90"/>
    <w:rsid w:val="000E3A44"/>
    <w:rsid w:val="001005CF"/>
    <w:rsid w:val="0011295F"/>
    <w:rsid w:val="00113C7B"/>
    <w:rsid w:val="00117F16"/>
    <w:rsid w:val="00121EA6"/>
    <w:rsid w:val="00126015"/>
    <w:rsid w:val="00141472"/>
    <w:rsid w:val="00141714"/>
    <w:rsid w:val="00152D03"/>
    <w:rsid w:val="00157582"/>
    <w:rsid w:val="001606F4"/>
    <w:rsid w:val="00172A27"/>
    <w:rsid w:val="00173857"/>
    <w:rsid w:val="0018342C"/>
    <w:rsid w:val="00194C86"/>
    <w:rsid w:val="001B0074"/>
    <w:rsid w:val="001B3934"/>
    <w:rsid w:val="001B468A"/>
    <w:rsid w:val="001B4991"/>
    <w:rsid w:val="001B6E2E"/>
    <w:rsid w:val="001C19EB"/>
    <w:rsid w:val="001C4759"/>
    <w:rsid w:val="001C531C"/>
    <w:rsid w:val="001F0A1E"/>
    <w:rsid w:val="001F6FE0"/>
    <w:rsid w:val="00205B63"/>
    <w:rsid w:val="00212A44"/>
    <w:rsid w:val="00212C1E"/>
    <w:rsid w:val="00212DD2"/>
    <w:rsid w:val="00213810"/>
    <w:rsid w:val="00225E7E"/>
    <w:rsid w:val="00226DD3"/>
    <w:rsid w:val="002272C5"/>
    <w:rsid w:val="00227FA3"/>
    <w:rsid w:val="002414DB"/>
    <w:rsid w:val="00243BE1"/>
    <w:rsid w:val="0024494D"/>
    <w:rsid w:val="0026115E"/>
    <w:rsid w:val="00264094"/>
    <w:rsid w:val="00264F5A"/>
    <w:rsid w:val="00265B3E"/>
    <w:rsid w:val="0026610F"/>
    <w:rsid w:val="00267AC3"/>
    <w:rsid w:val="00285262"/>
    <w:rsid w:val="00294C76"/>
    <w:rsid w:val="002A4C87"/>
    <w:rsid w:val="002A700B"/>
    <w:rsid w:val="002C3CB8"/>
    <w:rsid w:val="002D1500"/>
    <w:rsid w:val="002D1992"/>
    <w:rsid w:val="002E0F33"/>
    <w:rsid w:val="00314859"/>
    <w:rsid w:val="00315D8A"/>
    <w:rsid w:val="00327D8A"/>
    <w:rsid w:val="00327DE1"/>
    <w:rsid w:val="00336938"/>
    <w:rsid w:val="0034070C"/>
    <w:rsid w:val="00346993"/>
    <w:rsid w:val="0037092D"/>
    <w:rsid w:val="00376CB5"/>
    <w:rsid w:val="00382B5E"/>
    <w:rsid w:val="00394070"/>
    <w:rsid w:val="00394ADF"/>
    <w:rsid w:val="0039518E"/>
    <w:rsid w:val="003A786C"/>
    <w:rsid w:val="003B680E"/>
    <w:rsid w:val="003C25DE"/>
    <w:rsid w:val="003C6A22"/>
    <w:rsid w:val="003C6AF7"/>
    <w:rsid w:val="003D43BA"/>
    <w:rsid w:val="003D65BF"/>
    <w:rsid w:val="003E0E67"/>
    <w:rsid w:val="003F3167"/>
    <w:rsid w:val="003F3698"/>
    <w:rsid w:val="00403058"/>
    <w:rsid w:val="004038E8"/>
    <w:rsid w:val="00410C5D"/>
    <w:rsid w:val="00412777"/>
    <w:rsid w:val="00421BDD"/>
    <w:rsid w:val="00422E0A"/>
    <w:rsid w:val="00431EED"/>
    <w:rsid w:val="00447121"/>
    <w:rsid w:val="00455491"/>
    <w:rsid w:val="0046431C"/>
    <w:rsid w:val="00465CFF"/>
    <w:rsid w:val="00470B08"/>
    <w:rsid w:val="004A19F2"/>
    <w:rsid w:val="004A2EA4"/>
    <w:rsid w:val="004A4017"/>
    <w:rsid w:val="004A4C85"/>
    <w:rsid w:val="004B53AA"/>
    <w:rsid w:val="004C3D08"/>
    <w:rsid w:val="004C5998"/>
    <w:rsid w:val="004D066A"/>
    <w:rsid w:val="004D4E38"/>
    <w:rsid w:val="004D7065"/>
    <w:rsid w:val="004E1301"/>
    <w:rsid w:val="004E2132"/>
    <w:rsid w:val="004E25BE"/>
    <w:rsid w:val="004E2E07"/>
    <w:rsid w:val="004F5154"/>
    <w:rsid w:val="00502EB8"/>
    <w:rsid w:val="005152CA"/>
    <w:rsid w:val="00520EB9"/>
    <w:rsid w:val="00533C88"/>
    <w:rsid w:val="00545234"/>
    <w:rsid w:val="00570E60"/>
    <w:rsid w:val="005724A2"/>
    <w:rsid w:val="005822BE"/>
    <w:rsid w:val="00582D0E"/>
    <w:rsid w:val="00582F5F"/>
    <w:rsid w:val="00586162"/>
    <w:rsid w:val="00592C74"/>
    <w:rsid w:val="005959EF"/>
    <w:rsid w:val="005A2BC9"/>
    <w:rsid w:val="005B086E"/>
    <w:rsid w:val="005B4074"/>
    <w:rsid w:val="005D019E"/>
    <w:rsid w:val="005F3F1A"/>
    <w:rsid w:val="005F5C81"/>
    <w:rsid w:val="005F722C"/>
    <w:rsid w:val="00600BF4"/>
    <w:rsid w:val="0060375B"/>
    <w:rsid w:val="006102A8"/>
    <w:rsid w:val="00625999"/>
    <w:rsid w:val="00626245"/>
    <w:rsid w:val="00635770"/>
    <w:rsid w:val="00643FD6"/>
    <w:rsid w:val="006448CC"/>
    <w:rsid w:val="0065778B"/>
    <w:rsid w:val="00665EB6"/>
    <w:rsid w:val="00694AA4"/>
    <w:rsid w:val="00695CFD"/>
    <w:rsid w:val="0069786A"/>
    <w:rsid w:val="006B2BEF"/>
    <w:rsid w:val="006B366E"/>
    <w:rsid w:val="006C3793"/>
    <w:rsid w:val="006D3E26"/>
    <w:rsid w:val="006D6E9A"/>
    <w:rsid w:val="006E2DD8"/>
    <w:rsid w:val="006E36DE"/>
    <w:rsid w:val="006E62D7"/>
    <w:rsid w:val="006F6108"/>
    <w:rsid w:val="006F6B41"/>
    <w:rsid w:val="00712EA6"/>
    <w:rsid w:val="00716431"/>
    <w:rsid w:val="00725C73"/>
    <w:rsid w:val="00726695"/>
    <w:rsid w:val="00727D77"/>
    <w:rsid w:val="00730FE4"/>
    <w:rsid w:val="007346D8"/>
    <w:rsid w:val="00734907"/>
    <w:rsid w:val="00736153"/>
    <w:rsid w:val="0074677D"/>
    <w:rsid w:val="00757AAA"/>
    <w:rsid w:val="00765781"/>
    <w:rsid w:val="007710F3"/>
    <w:rsid w:val="0077475B"/>
    <w:rsid w:val="0078309D"/>
    <w:rsid w:val="00786407"/>
    <w:rsid w:val="00786A9C"/>
    <w:rsid w:val="007901D0"/>
    <w:rsid w:val="0079321B"/>
    <w:rsid w:val="00796414"/>
    <w:rsid w:val="007A0709"/>
    <w:rsid w:val="007B69B6"/>
    <w:rsid w:val="007C0E5C"/>
    <w:rsid w:val="007C11C0"/>
    <w:rsid w:val="007C6F4C"/>
    <w:rsid w:val="007D0038"/>
    <w:rsid w:val="007E2DB1"/>
    <w:rsid w:val="00800CC4"/>
    <w:rsid w:val="00802355"/>
    <w:rsid w:val="0080603D"/>
    <w:rsid w:val="00813124"/>
    <w:rsid w:val="00832E2C"/>
    <w:rsid w:val="00833D87"/>
    <w:rsid w:val="00835E4C"/>
    <w:rsid w:val="00837360"/>
    <w:rsid w:val="00837755"/>
    <w:rsid w:val="008615EA"/>
    <w:rsid w:val="00870576"/>
    <w:rsid w:val="0087579F"/>
    <w:rsid w:val="00876830"/>
    <w:rsid w:val="00881C7A"/>
    <w:rsid w:val="00881F0D"/>
    <w:rsid w:val="0089058C"/>
    <w:rsid w:val="00891E62"/>
    <w:rsid w:val="00894949"/>
    <w:rsid w:val="008A57BE"/>
    <w:rsid w:val="008B24FE"/>
    <w:rsid w:val="008B5F0C"/>
    <w:rsid w:val="008C5D6C"/>
    <w:rsid w:val="008C6965"/>
    <w:rsid w:val="008D2232"/>
    <w:rsid w:val="008D331A"/>
    <w:rsid w:val="008D563C"/>
    <w:rsid w:val="008E0453"/>
    <w:rsid w:val="008E0D70"/>
    <w:rsid w:val="0091121D"/>
    <w:rsid w:val="00912027"/>
    <w:rsid w:val="00917E00"/>
    <w:rsid w:val="00917E65"/>
    <w:rsid w:val="00921754"/>
    <w:rsid w:val="009265C3"/>
    <w:rsid w:val="009270A4"/>
    <w:rsid w:val="0092790A"/>
    <w:rsid w:val="00937D4D"/>
    <w:rsid w:val="00952009"/>
    <w:rsid w:val="00964C16"/>
    <w:rsid w:val="0097137D"/>
    <w:rsid w:val="009720D1"/>
    <w:rsid w:val="00977F47"/>
    <w:rsid w:val="00983315"/>
    <w:rsid w:val="009A1576"/>
    <w:rsid w:val="009B477C"/>
    <w:rsid w:val="009C0876"/>
    <w:rsid w:val="009C3197"/>
    <w:rsid w:val="009C7CEE"/>
    <w:rsid w:val="009D06FC"/>
    <w:rsid w:val="009D0DDA"/>
    <w:rsid w:val="009D5543"/>
    <w:rsid w:val="009E1D42"/>
    <w:rsid w:val="009E4F47"/>
    <w:rsid w:val="009F451D"/>
    <w:rsid w:val="00A022E0"/>
    <w:rsid w:val="00A069C0"/>
    <w:rsid w:val="00A1136F"/>
    <w:rsid w:val="00A1406E"/>
    <w:rsid w:val="00A164ED"/>
    <w:rsid w:val="00A273FC"/>
    <w:rsid w:val="00A44CF7"/>
    <w:rsid w:val="00A460A3"/>
    <w:rsid w:val="00A47B0D"/>
    <w:rsid w:val="00A51657"/>
    <w:rsid w:val="00A611CB"/>
    <w:rsid w:val="00A72894"/>
    <w:rsid w:val="00A74825"/>
    <w:rsid w:val="00A951AB"/>
    <w:rsid w:val="00AA3956"/>
    <w:rsid w:val="00AB10EB"/>
    <w:rsid w:val="00AC0554"/>
    <w:rsid w:val="00AD3CE2"/>
    <w:rsid w:val="00AD419D"/>
    <w:rsid w:val="00AE2584"/>
    <w:rsid w:val="00AF4B15"/>
    <w:rsid w:val="00AF6445"/>
    <w:rsid w:val="00B00A9D"/>
    <w:rsid w:val="00B0369D"/>
    <w:rsid w:val="00B05B33"/>
    <w:rsid w:val="00B063F3"/>
    <w:rsid w:val="00B14A64"/>
    <w:rsid w:val="00B21D3B"/>
    <w:rsid w:val="00B261AE"/>
    <w:rsid w:val="00B27EF5"/>
    <w:rsid w:val="00B33433"/>
    <w:rsid w:val="00B67391"/>
    <w:rsid w:val="00B748DE"/>
    <w:rsid w:val="00B7683C"/>
    <w:rsid w:val="00BB459B"/>
    <w:rsid w:val="00BC1615"/>
    <w:rsid w:val="00BC2BDF"/>
    <w:rsid w:val="00BC45ED"/>
    <w:rsid w:val="00BC6546"/>
    <w:rsid w:val="00BD2714"/>
    <w:rsid w:val="00BE078A"/>
    <w:rsid w:val="00BE4CF7"/>
    <w:rsid w:val="00BE579A"/>
    <w:rsid w:val="00BF3DFF"/>
    <w:rsid w:val="00BF5235"/>
    <w:rsid w:val="00BF68A0"/>
    <w:rsid w:val="00C06371"/>
    <w:rsid w:val="00C06886"/>
    <w:rsid w:val="00C07E1E"/>
    <w:rsid w:val="00C3566F"/>
    <w:rsid w:val="00C36ADA"/>
    <w:rsid w:val="00C40A7C"/>
    <w:rsid w:val="00C43156"/>
    <w:rsid w:val="00C67E6B"/>
    <w:rsid w:val="00C702EC"/>
    <w:rsid w:val="00C869B1"/>
    <w:rsid w:val="00CA0BFE"/>
    <w:rsid w:val="00CA41C1"/>
    <w:rsid w:val="00CA59AE"/>
    <w:rsid w:val="00CA5A09"/>
    <w:rsid w:val="00CB3384"/>
    <w:rsid w:val="00CB76B0"/>
    <w:rsid w:val="00CB7DE9"/>
    <w:rsid w:val="00CC5BDD"/>
    <w:rsid w:val="00CD6D8F"/>
    <w:rsid w:val="00D03673"/>
    <w:rsid w:val="00D06FF9"/>
    <w:rsid w:val="00D22E78"/>
    <w:rsid w:val="00D27FF0"/>
    <w:rsid w:val="00D33938"/>
    <w:rsid w:val="00D33970"/>
    <w:rsid w:val="00D54A24"/>
    <w:rsid w:val="00D6034B"/>
    <w:rsid w:val="00D66B00"/>
    <w:rsid w:val="00D73BC4"/>
    <w:rsid w:val="00D75DA4"/>
    <w:rsid w:val="00D8087F"/>
    <w:rsid w:val="00D81C26"/>
    <w:rsid w:val="00D84F24"/>
    <w:rsid w:val="00D904B8"/>
    <w:rsid w:val="00D915E3"/>
    <w:rsid w:val="00D93567"/>
    <w:rsid w:val="00DA48F1"/>
    <w:rsid w:val="00DA6158"/>
    <w:rsid w:val="00DA6C4A"/>
    <w:rsid w:val="00DB4497"/>
    <w:rsid w:val="00DC2B57"/>
    <w:rsid w:val="00DD15AB"/>
    <w:rsid w:val="00DD7BC3"/>
    <w:rsid w:val="00DE4BDE"/>
    <w:rsid w:val="00DE4C68"/>
    <w:rsid w:val="00DF6796"/>
    <w:rsid w:val="00DF7F3D"/>
    <w:rsid w:val="00E01AFA"/>
    <w:rsid w:val="00E0489C"/>
    <w:rsid w:val="00E05728"/>
    <w:rsid w:val="00E10493"/>
    <w:rsid w:val="00E13882"/>
    <w:rsid w:val="00E164E7"/>
    <w:rsid w:val="00E2240C"/>
    <w:rsid w:val="00E22A0F"/>
    <w:rsid w:val="00E25EB5"/>
    <w:rsid w:val="00E46519"/>
    <w:rsid w:val="00E47956"/>
    <w:rsid w:val="00E547A4"/>
    <w:rsid w:val="00E5555C"/>
    <w:rsid w:val="00E56CB6"/>
    <w:rsid w:val="00E65AD6"/>
    <w:rsid w:val="00E6610B"/>
    <w:rsid w:val="00E664C9"/>
    <w:rsid w:val="00E667FC"/>
    <w:rsid w:val="00E7150B"/>
    <w:rsid w:val="00E71F0A"/>
    <w:rsid w:val="00E755BC"/>
    <w:rsid w:val="00E87E22"/>
    <w:rsid w:val="00E94133"/>
    <w:rsid w:val="00E9446A"/>
    <w:rsid w:val="00EA2C2D"/>
    <w:rsid w:val="00EB289A"/>
    <w:rsid w:val="00EB2D9C"/>
    <w:rsid w:val="00EC113D"/>
    <w:rsid w:val="00EC1E70"/>
    <w:rsid w:val="00EC6183"/>
    <w:rsid w:val="00EE4019"/>
    <w:rsid w:val="00EE4490"/>
    <w:rsid w:val="00EF0CAB"/>
    <w:rsid w:val="00F0503C"/>
    <w:rsid w:val="00F11185"/>
    <w:rsid w:val="00F139EE"/>
    <w:rsid w:val="00F224E8"/>
    <w:rsid w:val="00F22C92"/>
    <w:rsid w:val="00F263E2"/>
    <w:rsid w:val="00F27B2A"/>
    <w:rsid w:val="00F27BDA"/>
    <w:rsid w:val="00F35FB9"/>
    <w:rsid w:val="00F50D8F"/>
    <w:rsid w:val="00F61EE4"/>
    <w:rsid w:val="00F6520D"/>
    <w:rsid w:val="00F65C3B"/>
    <w:rsid w:val="00F74092"/>
    <w:rsid w:val="00F86ABB"/>
    <w:rsid w:val="00F879CE"/>
    <w:rsid w:val="00F922DA"/>
    <w:rsid w:val="00F950DD"/>
    <w:rsid w:val="00FA1C14"/>
    <w:rsid w:val="00FA7D66"/>
    <w:rsid w:val="00FB4151"/>
    <w:rsid w:val="00FC46BB"/>
    <w:rsid w:val="00FC5526"/>
    <w:rsid w:val="00FD2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5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915E3"/>
  </w:style>
  <w:style w:type="paragraph" w:styleId="a4">
    <w:name w:val="footer"/>
    <w:basedOn w:val="a"/>
    <w:rsid w:val="00D915E3"/>
    <w:pPr>
      <w:tabs>
        <w:tab w:val="center" w:pos="4153"/>
        <w:tab w:val="right" w:pos="8306"/>
      </w:tabs>
      <w:snapToGrid w:val="0"/>
      <w:jc w:val="left"/>
    </w:pPr>
    <w:rPr>
      <w:sz w:val="18"/>
      <w:szCs w:val="18"/>
    </w:rPr>
  </w:style>
  <w:style w:type="paragraph" w:styleId="a5">
    <w:name w:val="Balloon Text"/>
    <w:basedOn w:val="a"/>
    <w:rsid w:val="00D915E3"/>
    <w:rPr>
      <w:sz w:val="18"/>
      <w:szCs w:val="18"/>
    </w:rPr>
  </w:style>
  <w:style w:type="paragraph" w:styleId="a6">
    <w:name w:val="header"/>
    <w:basedOn w:val="a"/>
    <w:rsid w:val="00D915E3"/>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rsid w:val="00CB3384"/>
    <w:pPr>
      <w:ind w:firstLineChars="200" w:firstLine="420"/>
    </w:pPr>
  </w:style>
  <w:style w:type="paragraph" w:styleId="a8">
    <w:name w:val="Normal (Web)"/>
    <w:basedOn w:val="a"/>
    <w:qFormat/>
    <w:rsid w:val="00D33970"/>
    <w:pPr>
      <w:widowControl/>
      <w:spacing w:before="100" w:beforeAutospacing="1" w:after="100" w:afterAutospacing="1"/>
      <w:jc w:val="left"/>
    </w:pPr>
    <w:rPr>
      <w:rFonts w:ascii="宋体" w:eastAsia="仿宋_GB2312" w:hAnsi="宋体" w:cs="宋体"/>
      <w:kern w:val="0"/>
      <w:sz w:val="24"/>
      <w:szCs w:val="22"/>
    </w:rPr>
  </w:style>
</w:styles>
</file>

<file path=word/webSettings.xml><?xml version="1.0" encoding="utf-8"?>
<w:webSettings xmlns:r="http://schemas.openxmlformats.org/officeDocument/2006/relationships" xmlns:w="http://schemas.openxmlformats.org/wordprocessingml/2006/main">
  <w:divs>
    <w:div w:id="104931691">
      <w:bodyDiv w:val="1"/>
      <w:marLeft w:val="0"/>
      <w:marRight w:val="0"/>
      <w:marTop w:val="0"/>
      <w:marBottom w:val="0"/>
      <w:divBdr>
        <w:top w:val="none" w:sz="0" w:space="0" w:color="auto"/>
        <w:left w:val="none" w:sz="0" w:space="0" w:color="auto"/>
        <w:bottom w:val="none" w:sz="0" w:space="0" w:color="auto"/>
        <w:right w:val="none" w:sz="0" w:space="0" w:color="auto"/>
      </w:divBdr>
    </w:div>
    <w:div w:id="156964513">
      <w:bodyDiv w:val="1"/>
      <w:marLeft w:val="0"/>
      <w:marRight w:val="0"/>
      <w:marTop w:val="0"/>
      <w:marBottom w:val="0"/>
      <w:divBdr>
        <w:top w:val="none" w:sz="0" w:space="0" w:color="auto"/>
        <w:left w:val="none" w:sz="0" w:space="0" w:color="auto"/>
        <w:bottom w:val="none" w:sz="0" w:space="0" w:color="auto"/>
        <w:right w:val="none" w:sz="0" w:space="0" w:color="auto"/>
      </w:divBdr>
    </w:div>
    <w:div w:id="185753647">
      <w:bodyDiv w:val="1"/>
      <w:marLeft w:val="0"/>
      <w:marRight w:val="0"/>
      <w:marTop w:val="0"/>
      <w:marBottom w:val="0"/>
      <w:divBdr>
        <w:top w:val="none" w:sz="0" w:space="0" w:color="auto"/>
        <w:left w:val="none" w:sz="0" w:space="0" w:color="auto"/>
        <w:bottom w:val="none" w:sz="0" w:space="0" w:color="auto"/>
        <w:right w:val="none" w:sz="0" w:space="0" w:color="auto"/>
      </w:divBdr>
    </w:div>
    <w:div w:id="229117201">
      <w:bodyDiv w:val="1"/>
      <w:marLeft w:val="0"/>
      <w:marRight w:val="0"/>
      <w:marTop w:val="0"/>
      <w:marBottom w:val="0"/>
      <w:divBdr>
        <w:top w:val="none" w:sz="0" w:space="0" w:color="auto"/>
        <w:left w:val="none" w:sz="0" w:space="0" w:color="auto"/>
        <w:bottom w:val="none" w:sz="0" w:space="0" w:color="auto"/>
        <w:right w:val="none" w:sz="0" w:space="0" w:color="auto"/>
      </w:divBdr>
    </w:div>
    <w:div w:id="289551355">
      <w:bodyDiv w:val="1"/>
      <w:marLeft w:val="0"/>
      <w:marRight w:val="0"/>
      <w:marTop w:val="0"/>
      <w:marBottom w:val="0"/>
      <w:divBdr>
        <w:top w:val="none" w:sz="0" w:space="0" w:color="auto"/>
        <w:left w:val="none" w:sz="0" w:space="0" w:color="auto"/>
        <w:bottom w:val="none" w:sz="0" w:space="0" w:color="auto"/>
        <w:right w:val="none" w:sz="0" w:space="0" w:color="auto"/>
      </w:divBdr>
    </w:div>
    <w:div w:id="292641606">
      <w:bodyDiv w:val="1"/>
      <w:marLeft w:val="0"/>
      <w:marRight w:val="0"/>
      <w:marTop w:val="0"/>
      <w:marBottom w:val="0"/>
      <w:divBdr>
        <w:top w:val="none" w:sz="0" w:space="0" w:color="auto"/>
        <w:left w:val="none" w:sz="0" w:space="0" w:color="auto"/>
        <w:bottom w:val="none" w:sz="0" w:space="0" w:color="auto"/>
        <w:right w:val="none" w:sz="0" w:space="0" w:color="auto"/>
      </w:divBdr>
    </w:div>
    <w:div w:id="323974040">
      <w:bodyDiv w:val="1"/>
      <w:marLeft w:val="0"/>
      <w:marRight w:val="0"/>
      <w:marTop w:val="0"/>
      <w:marBottom w:val="0"/>
      <w:divBdr>
        <w:top w:val="none" w:sz="0" w:space="0" w:color="auto"/>
        <w:left w:val="none" w:sz="0" w:space="0" w:color="auto"/>
        <w:bottom w:val="none" w:sz="0" w:space="0" w:color="auto"/>
        <w:right w:val="none" w:sz="0" w:space="0" w:color="auto"/>
      </w:divBdr>
    </w:div>
    <w:div w:id="357319026">
      <w:bodyDiv w:val="1"/>
      <w:marLeft w:val="0"/>
      <w:marRight w:val="0"/>
      <w:marTop w:val="0"/>
      <w:marBottom w:val="0"/>
      <w:divBdr>
        <w:top w:val="none" w:sz="0" w:space="0" w:color="auto"/>
        <w:left w:val="none" w:sz="0" w:space="0" w:color="auto"/>
        <w:bottom w:val="none" w:sz="0" w:space="0" w:color="auto"/>
        <w:right w:val="none" w:sz="0" w:space="0" w:color="auto"/>
      </w:divBdr>
    </w:div>
    <w:div w:id="511919782">
      <w:bodyDiv w:val="1"/>
      <w:marLeft w:val="0"/>
      <w:marRight w:val="0"/>
      <w:marTop w:val="0"/>
      <w:marBottom w:val="0"/>
      <w:divBdr>
        <w:top w:val="none" w:sz="0" w:space="0" w:color="auto"/>
        <w:left w:val="none" w:sz="0" w:space="0" w:color="auto"/>
        <w:bottom w:val="none" w:sz="0" w:space="0" w:color="auto"/>
        <w:right w:val="none" w:sz="0" w:space="0" w:color="auto"/>
      </w:divBdr>
    </w:div>
    <w:div w:id="572352154">
      <w:bodyDiv w:val="1"/>
      <w:marLeft w:val="0"/>
      <w:marRight w:val="0"/>
      <w:marTop w:val="0"/>
      <w:marBottom w:val="0"/>
      <w:divBdr>
        <w:top w:val="none" w:sz="0" w:space="0" w:color="auto"/>
        <w:left w:val="none" w:sz="0" w:space="0" w:color="auto"/>
        <w:bottom w:val="none" w:sz="0" w:space="0" w:color="auto"/>
        <w:right w:val="none" w:sz="0" w:space="0" w:color="auto"/>
      </w:divBdr>
    </w:div>
    <w:div w:id="619066466">
      <w:bodyDiv w:val="1"/>
      <w:marLeft w:val="0"/>
      <w:marRight w:val="0"/>
      <w:marTop w:val="0"/>
      <w:marBottom w:val="0"/>
      <w:divBdr>
        <w:top w:val="none" w:sz="0" w:space="0" w:color="auto"/>
        <w:left w:val="none" w:sz="0" w:space="0" w:color="auto"/>
        <w:bottom w:val="none" w:sz="0" w:space="0" w:color="auto"/>
        <w:right w:val="none" w:sz="0" w:space="0" w:color="auto"/>
      </w:divBdr>
    </w:div>
    <w:div w:id="695348550">
      <w:bodyDiv w:val="1"/>
      <w:marLeft w:val="0"/>
      <w:marRight w:val="0"/>
      <w:marTop w:val="0"/>
      <w:marBottom w:val="0"/>
      <w:divBdr>
        <w:top w:val="none" w:sz="0" w:space="0" w:color="auto"/>
        <w:left w:val="none" w:sz="0" w:space="0" w:color="auto"/>
        <w:bottom w:val="none" w:sz="0" w:space="0" w:color="auto"/>
        <w:right w:val="none" w:sz="0" w:space="0" w:color="auto"/>
      </w:divBdr>
    </w:div>
    <w:div w:id="733771977">
      <w:bodyDiv w:val="1"/>
      <w:marLeft w:val="0"/>
      <w:marRight w:val="0"/>
      <w:marTop w:val="0"/>
      <w:marBottom w:val="0"/>
      <w:divBdr>
        <w:top w:val="none" w:sz="0" w:space="0" w:color="auto"/>
        <w:left w:val="none" w:sz="0" w:space="0" w:color="auto"/>
        <w:bottom w:val="none" w:sz="0" w:space="0" w:color="auto"/>
        <w:right w:val="none" w:sz="0" w:space="0" w:color="auto"/>
      </w:divBdr>
    </w:div>
    <w:div w:id="767164966">
      <w:bodyDiv w:val="1"/>
      <w:marLeft w:val="0"/>
      <w:marRight w:val="0"/>
      <w:marTop w:val="0"/>
      <w:marBottom w:val="0"/>
      <w:divBdr>
        <w:top w:val="none" w:sz="0" w:space="0" w:color="auto"/>
        <w:left w:val="none" w:sz="0" w:space="0" w:color="auto"/>
        <w:bottom w:val="none" w:sz="0" w:space="0" w:color="auto"/>
        <w:right w:val="none" w:sz="0" w:space="0" w:color="auto"/>
      </w:divBdr>
    </w:div>
    <w:div w:id="778110129">
      <w:bodyDiv w:val="1"/>
      <w:marLeft w:val="0"/>
      <w:marRight w:val="0"/>
      <w:marTop w:val="0"/>
      <w:marBottom w:val="0"/>
      <w:divBdr>
        <w:top w:val="none" w:sz="0" w:space="0" w:color="auto"/>
        <w:left w:val="none" w:sz="0" w:space="0" w:color="auto"/>
        <w:bottom w:val="none" w:sz="0" w:space="0" w:color="auto"/>
        <w:right w:val="none" w:sz="0" w:space="0" w:color="auto"/>
      </w:divBdr>
    </w:div>
    <w:div w:id="1013189339">
      <w:bodyDiv w:val="1"/>
      <w:marLeft w:val="0"/>
      <w:marRight w:val="0"/>
      <w:marTop w:val="0"/>
      <w:marBottom w:val="0"/>
      <w:divBdr>
        <w:top w:val="none" w:sz="0" w:space="0" w:color="auto"/>
        <w:left w:val="none" w:sz="0" w:space="0" w:color="auto"/>
        <w:bottom w:val="none" w:sz="0" w:space="0" w:color="auto"/>
        <w:right w:val="none" w:sz="0" w:space="0" w:color="auto"/>
      </w:divBdr>
    </w:div>
    <w:div w:id="1128821509">
      <w:bodyDiv w:val="1"/>
      <w:marLeft w:val="0"/>
      <w:marRight w:val="0"/>
      <w:marTop w:val="0"/>
      <w:marBottom w:val="0"/>
      <w:divBdr>
        <w:top w:val="none" w:sz="0" w:space="0" w:color="auto"/>
        <w:left w:val="none" w:sz="0" w:space="0" w:color="auto"/>
        <w:bottom w:val="none" w:sz="0" w:space="0" w:color="auto"/>
        <w:right w:val="none" w:sz="0" w:space="0" w:color="auto"/>
      </w:divBdr>
    </w:div>
    <w:div w:id="1172573238">
      <w:bodyDiv w:val="1"/>
      <w:marLeft w:val="0"/>
      <w:marRight w:val="0"/>
      <w:marTop w:val="0"/>
      <w:marBottom w:val="0"/>
      <w:divBdr>
        <w:top w:val="none" w:sz="0" w:space="0" w:color="auto"/>
        <w:left w:val="none" w:sz="0" w:space="0" w:color="auto"/>
        <w:bottom w:val="none" w:sz="0" w:space="0" w:color="auto"/>
        <w:right w:val="none" w:sz="0" w:space="0" w:color="auto"/>
      </w:divBdr>
    </w:div>
    <w:div w:id="1199971254">
      <w:bodyDiv w:val="1"/>
      <w:marLeft w:val="0"/>
      <w:marRight w:val="0"/>
      <w:marTop w:val="0"/>
      <w:marBottom w:val="0"/>
      <w:divBdr>
        <w:top w:val="none" w:sz="0" w:space="0" w:color="auto"/>
        <w:left w:val="none" w:sz="0" w:space="0" w:color="auto"/>
        <w:bottom w:val="none" w:sz="0" w:space="0" w:color="auto"/>
        <w:right w:val="none" w:sz="0" w:space="0" w:color="auto"/>
      </w:divBdr>
    </w:div>
    <w:div w:id="1221018755">
      <w:bodyDiv w:val="1"/>
      <w:marLeft w:val="0"/>
      <w:marRight w:val="0"/>
      <w:marTop w:val="0"/>
      <w:marBottom w:val="0"/>
      <w:divBdr>
        <w:top w:val="none" w:sz="0" w:space="0" w:color="auto"/>
        <w:left w:val="none" w:sz="0" w:space="0" w:color="auto"/>
        <w:bottom w:val="none" w:sz="0" w:space="0" w:color="auto"/>
        <w:right w:val="none" w:sz="0" w:space="0" w:color="auto"/>
      </w:divBdr>
    </w:div>
    <w:div w:id="1244486544">
      <w:bodyDiv w:val="1"/>
      <w:marLeft w:val="0"/>
      <w:marRight w:val="0"/>
      <w:marTop w:val="0"/>
      <w:marBottom w:val="0"/>
      <w:divBdr>
        <w:top w:val="none" w:sz="0" w:space="0" w:color="auto"/>
        <w:left w:val="none" w:sz="0" w:space="0" w:color="auto"/>
        <w:bottom w:val="none" w:sz="0" w:space="0" w:color="auto"/>
        <w:right w:val="none" w:sz="0" w:space="0" w:color="auto"/>
      </w:divBdr>
    </w:div>
    <w:div w:id="1246382663">
      <w:bodyDiv w:val="1"/>
      <w:marLeft w:val="0"/>
      <w:marRight w:val="0"/>
      <w:marTop w:val="0"/>
      <w:marBottom w:val="0"/>
      <w:divBdr>
        <w:top w:val="none" w:sz="0" w:space="0" w:color="auto"/>
        <w:left w:val="none" w:sz="0" w:space="0" w:color="auto"/>
        <w:bottom w:val="none" w:sz="0" w:space="0" w:color="auto"/>
        <w:right w:val="none" w:sz="0" w:space="0" w:color="auto"/>
      </w:divBdr>
    </w:div>
    <w:div w:id="1378358602">
      <w:bodyDiv w:val="1"/>
      <w:marLeft w:val="0"/>
      <w:marRight w:val="0"/>
      <w:marTop w:val="0"/>
      <w:marBottom w:val="0"/>
      <w:divBdr>
        <w:top w:val="none" w:sz="0" w:space="0" w:color="auto"/>
        <w:left w:val="none" w:sz="0" w:space="0" w:color="auto"/>
        <w:bottom w:val="none" w:sz="0" w:space="0" w:color="auto"/>
        <w:right w:val="none" w:sz="0" w:space="0" w:color="auto"/>
      </w:divBdr>
    </w:div>
    <w:div w:id="1449012784">
      <w:bodyDiv w:val="1"/>
      <w:marLeft w:val="0"/>
      <w:marRight w:val="0"/>
      <w:marTop w:val="0"/>
      <w:marBottom w:val="0"/>
      <w:divBdr>
        <w:top w:val="none" w:sz="0" w:space="0" w:color="auto"/>
        <w:left w:val="none" w:sz="0" w:space="0" w:color="auto"/>
        <w:bottom w:val="none" w:sz="0" w:space="0" w:color="auto"/>
        <w:right w:val="none" w:sz="0" w:space="0" w:color="auto"/>
      </w:divBdr>
    </w:div>
    <w:div w:id="1468283345">
      <w:bodyDiv w:val="1"/>
      <w:marLeft w:val="0"/>
      <w:marRight w:val="0"/>
      <w:marTop w:val="0"/>
      <w:marBottom w:val="0"/>
      <w:divBdr>
        <w:top w:val="none" w:sz="0" w:space="0" w:color="auto"/>
        <w:left w:val="none" w:sz="0" w:space="0" w:color="auto"/>
        <w:bottom w:val="none" w:sz="0" w:space="0" w:color="auto"/>
        <w:right w:val="none" w:sz="0" w:space="0" w:color="auto"/>
      </w:divBdr>
    </w:div>
    <w:div w:id="1674793346">
      <w:bodyDiv w:val="1"/>
      <w:marLeft w:val="0"/>
      <w:marRight w:val="0"/>
      <w:marTop w:val="0"/>
      <w:marBottom w:val="0"/>
      <w:divBdr>
        <w:top w:val="none" w:sz="0" w:space="0" w:color="auto"/>
        <w:left w:val="none" w:sz="0" w:space="0" w:color="auto"/>
        <w:bottom w:val="none" w:sz="0" w:space="0" w:color="auto"/>
        <w:right w:val="none" w:sz="0" w:space="0" w:color="auto"/>
      </w:divBdr>
    </w:div>
    <w:div w:id="1709336850">
      <w:bodyDiv w:val="1"/>
      <w:marLeft w:val="0"/>
      <w:marRight w:val="0"/>
      <w:marTop w:val="0"/>
      <w:marBottom w:val="0"/>
      <w:divBdr>
        <w:top w:val="none" w:sz="0" w:space="0" w:color="auto"/>
        <w:left w:val="none" w:sz="0" w:space="0" w:color="auto"/>
        <w:bottom w:val="none" w:sz="0" w:space="0" w:color="auto"/>
        <w:right w:val="none" w:sz="0" w:space="0" w:color="auto"/>
      </w:divBdr>
    </w:div>
    <w:div w:id="1726873885">
      <w:bodyDiv w:val="1"/>
      <w:marLeft w:val="0"/>
      <w:marRight w:val="0"/>
      <w:marTop w:val="0"/>
      <w:marBottom w:val="0"/>
      <w:divBdr>
        <w:top w:val="none" w:sz="0" w:space="0" w:color="auto"/>
        <w:left w:val="none" w:sz="0" w:space="0" w:color="auto"/>
        <w:bottom w:val="none" w:sz="0" w:space="0" w:color="auto"/>
        <w:right w:val="none" w:sz="0" w:space="0" w:color="auto"/>
      </w:divBdr>
    </w:div>
    <w:div w:id="1857379830">
      <w:bodyDiv w:val="1"/>
      <w:marLeft w:val="0"/>
      <w:marRight w:val="0"/>
      <w:marTop w:val="0"/>
      <w:marBottom w:val="0"/>
      <w:divBdr>
        <w:top w:val="none" w:sz="0" w:space="0" w:color="auto"/>
        <w:left w:val="none" w:sz="0" w:space="0" w:color="auto"/>
        <w:bottom w:val="none" w:sz="0" w:space="0" w:color="auto"/>
        <w:right w:val="none" w:sz="0" w:space="0" w:color="auto"/>
      </w:divBdr>
    </w:div>
    <w:div w:id="1865092636">
      <w:bodyDiv w:val="1"/>
      <w:marLeft w:val="0"/>
      <w:marRight w:val="0"/>
      <w:marTop w:val="0"/>
      <w:marBottom w:val="0"/>
      <w:divBdr>
        <w:top w:val="none" w:sz="0" w:space="0" w:color="auto"/>
        <w:left w:val="none" w:sz="0" w:space="0" w:color="auto"/>
        <w:bottom w:val="none" w:sz="0" w:space="0" w:color="auto"/>
        <w:right w:val="none" w:sz="0" w:space="0" w:color="auto"/>
      </w:divBdr>
    </w:div>
    <w:div w:id="1870220230">
      <w:bodyDiv w:val="1"/>
      <w:marLeft w:val="0"/>
      <w:marRight w:val="0"/>
      <w:marTop w:val="0"/>
      <w:marBottom w:val="0"/>
      <w:divBdr>
        <w:top w:val="none" w:sz="0" w:space="0" w:color="auto"/>
        <w:left w:val="none" w:sz="0" w:space="0" w:color="auto"/>
        <w:bottom w:val="none" w:sz="0" w:space="0" w:color="auto"/>
        <w:right w:val="none" w:sz="0" w:space="0" w:color="auto"/>
      </w:divBdr>
    </w:div>
    <w:div w:id="1893419819">
      <w:bodyDiv w:val="1"/>
      <w:marLeft w:val="0"/>
      <w:marRight w:val="0"/>
      <w:marTop w:val="0"/>
      <w:marBottom w:val="0"/>
      <w:divBdr>
        <w:top w:val="none" w:sz="0" w:space="0" w:color="auto"/>
        <w:left w:val="none" w:sz="0" w:space="0" w:color="auto"/>
        <w:bottom w:val="none" w:sz="0" w:space="0" w:color="auto"/>
        <w:right w:val="none" w:sz="0" w:space="0" w:color="auto"/>
      </w:divBdr>
    </w:div>
    <w:div w:id="1909265317">
      <w:bodyDiv w:val="1"/>
      <w:marLeft w:val="0"/>
      <w:marRight w:val="0"/>
      <w:marTop w:val="0"/>
      <w:marBottom w:val="0"/>
      <w:divBdr>
        <w:top w:val="none" w:sz="0" w:space="0" w:color="auto"/>
        <w:left w:val="none" w:sz="0" w:space="0" w:color="auto"/>
        <w:bottom w:val="none" w:sz="0" w:space="0" w:color="auto"/>
        <w:right w:val="none" w:sz="0" w:space="0" w:color="auto"/>
      </w:divBdr>
    </w:div>
    <w:div w:id="1928922307">
      <w:bodyDiv w:val="1"/>
      <w:marLeft w:val="0"/>
      <w:marRight w:val="0"/>
      <w:marTop w:val="0"/>
      <w:marBottom w:val="0"/>
      <w:divBdr>
        <w:top w:val="none" w:sz="0" w:space="0" w:color="auto"/>
        <w:left w:val="none" w:sz="0" w:space="0" w:color="auto"/>
        <w:bottom w:val="none" w:sz="0" w:space="0" w:color="auto"/>
        <w:right w:val="none" w:sz="0" w:space="0" w:color="auto"/>
      </w:divBdr>
    </w:div>
    <w:div w:id="1963262844">
      <w:bodyDiv w:val="1"/>
      <w:marLeft w:val="0"/>
      <w:marRight w:val="0"/>
      <w:marTop w:val="0"/>
      <w:marBottom w:val="0"/>
      <w:divBdr>
        <w:top w:val="none" w:sz="0" w:space="0" w:color="auto"/>
        <w:left w:val="none" w:sz="0" w:space="0" w:color="auto"/>
        <w:bottom w:val="none" w:sz="0" w:space="0" w:color="auto"/>
        <w:right w:val="none" w:sz="0" w:space="0" w:color="auto"/>
      </w:divBdr>
    </w:div>
    <w:div w:id="2013756240">
      <w:bodyDiv w:val="1"/>
      <w:marLeft w:val="0"/>
      <w:marRight w:val="0"/>
      <w:marTop w:val="0"/>
      <w:marBottom w:val="0"/>
      <w:divBdr>
        <w:top w:val="none" w:sz="0" w:space="0" w:color="auto"/>
        <w:left w:val="none" w:sz="0" w:space="0" w:color="auto"/>
        <w:bottom w:val="none" w:sz="0" w:space="0" w:color="auto"/>
        <w:right w:val="none" w:sz="0" w:space="0" w:color="auto"/>
      </w:divBdr>
    </w:div>
    <w:div w:id="2013989853">
      <w:bodyDiv w:val="1"/>
      <w:marLeft w:val="0"/>
      <w:marRight w:val="0"/>
      <w:marTop w:val="0"/>
      <w:marBottom w:val="0"/>
      <w:divBdr>
        <w:top w:val="none" w:sz="0" w:space="0" w:color="auto"/>
        <w:left w:val="none" w:sz="0" w:space="0" w:color="auto"/>
        <w:bottom w:val="none" w:sz="0" w:space="0" w:color="auto"/>
        <w:right w:val="none" w:sz="0" w:space="0" w:color="auto"/>
      </w:divBdr>
    </w:div>
    <w:div w:id="2029596419">
      <w:bodyDiv w:val="1"/>
      <w:marLeft w:val="0"/>
      <w:marRight w:val="0"/>
      <w:marTop w:val="0"/>
      <w:marBottom w:val="0"/>
      <w:divBdr>
        <w:top w:val="none" w:sz="0" w:space="0" w:color="auto"/>
        <w:left w:val="none" w:sz="0" w:space="0" w:color="auto"/>
        <w:bottom w:val="none" w:sz="0" w:space="0" w:color="auto"/>
        <w:right w:val="none" w:sz="0" w:space="0" w:color="auto"/>
      </w:divBdr>
    </w:div>
    <w:div w:id="2030060961">
      <w:bodyDiv w:val="1"/>
      <w:marLeft w:val="0"/>
      <w:marRight w:val="0"/>
      <w:marTop w:val="0"/>
      <w:marBottom w:val="0"/>
      <w:divBdr>
        <w:top w:val="none" w:sz="0" w:space="0" w:color="auto"/>
        <w:left w:val="none" w:sz="0" w:space="0" w:color="auto"/>
        <w:bottom w:val="none" w:sz="0" w:space="0" w:color="auto"/>
        <w:right w:val="none" w:sz="0" w:space="0" w:color="auto"/>
      </w:divBdr>
    </w:div>
    <w:div w:id="20504930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1120</Characters>
  <Application>Microsoft Office Word</Application>
  <DocSecurity>0</DocSecurity>
  <PresentationFormat/>
  <Lines>9</Lines>
  <Paragraphs>2</Paragraphs>
  <Slides>0</Slides>
  <Notes>0</Notes>
  <HiddenSlides>0</HiddenSlides>
  <MMClips>0</MMClips>
  <ScaleCrop>false</ScaleCrop>
  <Company>www.longfore.com.cn</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佛山市三水区人民法院2006年第1期（2月27日）摇珠现场会评估、拍卖类标的物情况表</dc:title>
  <dc:creator>朗科电脑</dc:creator>
  <cp:lastModifiedBy>AutoBVT</cp:lastModifiedBy>
  <cp:revision>3</cp:revision>
  <cp:lastPrinted>2021-04-21T01:03:00Z</cp:lastPrinted>
  <dcterms:created xsi:type="dcterms:W3CDTF">2021-04-20T08:46:00Z</dcterms:created>
  <dcterms:modified xsi:type="dcterms:W3CDTF">2021-04-21T01:03:00Z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